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Panamá, 22 de enero de 2020.</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Honorable Diputado</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Marcos Castillero B.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Presidente de la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ASAMBLEA NACIONAL</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Señor Presidente:</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uso de la iniciativa que me confiere la Constitución de la República de Panamá, y el artículo 108 del Reglamento Orgánico del Régimen Interno de la Asamblea Nacional, me honro en presentar a través de su conducto, para la consideración del Honorable Pleno, el anteproyecto de Ley, </w:t>
      </w:r>
      <w:r>
        <w:rPr>
          <w:rFonts w:ascii="Times New Roman" w:hAnsi="Times New Roman" w:cs="Times New Roman" w:eastAsia="Times New Roman"/>
          <w:b/>
          <w:color w:val="auto"/>
          <w:spacing w:val="0"/>
          <w:position w:val="0"/>
          <w:sz w:val="24"/>
          <w:shd w:fill="auto" w:val="clear"/>
        </w:rPr>
        <w:t xml:space="preserve">Que modifica la Ley 6 de 22 de enero de 2002 y dicta otras disposiciones,</w:t>
      </w:r>
      <w:r>
        <w:rPr>
          <w:rFonts w:ascii="Times New Roman" w:hAnsi="Times New Roman" w:cs="Times New Roman" w:eastAsia="Times New Roman"/>
          <w:color w:val="auto"/>
          <w:spacing w:val="0"/>
          <w:position w:val="0"/>
          <w:sz w:val="24"/>
          <w:shd w:fill="auto" w:val="clear"/>
        </w:rPr>
        <w:t xml:space="preserve"> el cual merece la siguiente:</w:t>
      </w:r>
    </w:p>
    <w:p>
      <w:pPr>
        <w:spacing w:before="0" w:after="160" w:line="36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160" w:line="36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EXPOSICIÓN DE MOTIVOS</w:t>
      </w:r>
    </w:p>
    <w:p>
      <w:pPr>
        <w:spacing w:before="0" w:after="160" w:line="36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160" w:line="36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En los últimos años la transparencia en el ejercicio de la gestión pública ha venido sufriendo reveces importantes de parte de los propios funcionarios que deberían promoverla. La transparencia es un principio que según el Código de Ética de los funcionarios público debe ser fundamental durante el periodo de servicio de dicho funcionario. Es bien conocido como poco a poco algunas instituciones, entre las que debemos destacar a la Asamblea Nacional y la Lotería Nacional de Beneficencia, han buscado mantener un manejo poco transparente de la información que por derecho le corresponde a la ciudadanía. La gesta que dio como resultado la sanción y puesta en marcha de la Ley 6 de 22 de enero de 2002 es digna de recordar y aplaudir. Sin embargo, a dieciocho años de la vigencia de dicha Ley es propicio hacer un análisis profundo a la misma para mejorar los espacios grises que por años han sido aprovechados por opacos funcionarios para cubrir sus intereses particulares o políticos. </w:t>
      </w:r>
    </w:p>
    <w:p>
      <w:pPr>
        <w:spacing w:before="0" w:after="160" w:line="36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 podemos negar que durante el quinquenio 2014-2019, la Autoridad Nacional de Transparencia y Acceso a la Información, realizó diversas gestiones con el objeto de instaurar en Panamá herramientas institucionales y jurídicas para salvaguardar la transparencia en la gestión pública y erradicar los actos de corrupción. Los esfuerzos antes descritos fueron ignorados por el Consejo de Gabinete que jamás presentó dichas iniciativas legislativas ante la Asamblea Nacional. </w:t>
      </w:r>
    </w:p>
    <w:p>
      <w:pPr>
        <w:spacing w:before="0" w:after="160" w:line="36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Dada la importancia que tiene esta materia en el adecentamiento de la administración pública y toda vez que se trata de un aporte al desarrollo institucional de nuestro país, es nuestro deseo retomar esta propuesta e impulsarla, sin menoscabo del reconocimiento por todas aquellas personas que contribuyeron de una forma u otra, a que este cuerpo legal fuera formulado, algunas que laboraban en la ANTAI, en la Presidencia y sobretodo los que representan los diversos sectores de la sociedad civil. </w:t>
      </w:r>
    </w:p>
    <w:p>
      <w:pPr>
        <w:spacing w:before="0" w:after="16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Teniendo en cuenta los perjuicios que a diario son causados a raíz de la mala administración pública, los gobiernos, tanto nacionales como internacionales, han insistido en la adopción de medidas cada vez más novedosas para erradicar este mal, siendo una de ellas, la modificación y/o creación de instrumentos legislativos que funcionen como una herramienta eficaz para lograr este objetivo.</w:t>
      </w:r>
    </w:p>
    <w:p>
      <w:pPr>
        <w:spacing w:before="0" w:after="16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 Convención Interamericana contra la Corrupción de 1996, aprobada mediante Ley 42 de 1 de julio de 1998 y la Convención de las Naciones Unidas contra la Corrupción, aprobada mediante Ley 15 de 10 de mayo de 2005, son ejemplos concretos de las medidas legislativas adoptadas en la esfera internacional. Es en ese sentido que, motivados por el cumplimiento del objetivo planteado y, guiados por los instrumentos de derecho internacional precitados, el Gobierno de Panamá convocó a una consulta pública durante el mes de junio de 2016, sobre la base de nueve temas potenciales: conflicto de interés, protección a denunciantes de corrupción, fortalecimiento de las instituciones de lucha contra la corrupción, prevención de la corrupción en la contratación pública, sanciones penales, códigos de ética, medidas disciplinarias, administrativas y pedagógicas contra la corrupción. Adicionalmente, se instó a los entes sociales y estatales que conforman el Consejo de la Concertación Nacional para el Desarrollo y la Comisión del Pacto Estado por la Justicia, a fin de que presentaran propuestas concretas para reformar nuestra legislación actual, las cuales han sido acogidas, analizadas y dieron como resultado la materialización del proyecto que se presenta.</w:t>
      </w:r>
    </w:p>
    <w:p>
      <w:pPr>
        <w:spacing w:before="0" w:after="16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 concreto, proponemos la reforma de la Ley 6 de 22 de enero de 2002, incluyendo en la información de obligatoria publicación: </w:t>
      </w:r>
    </w:p>
    <w:p>
      <w:pPr>
        <w:numPr>
          <w:ilvl w:val="0"/>
          <w:numId w:val="8"/>
        </w:numPr>
        <w:spacing w:before="0" w:after="160" w:line="36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El presupuesto aprobado para el año fiscal corriente.</w:t>
      </w:r>
    </w:p>
    <w:p>
      <w:pPr>
        <w:numPr>
          <w:ilvl w:val="0"/>
          <w:numId w:val="8"/>
        </w:numPr>
        <w:spacing w:before="0" w:after="160" w:line="36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Los cambios y traslados de partida.</w:t>
      </w:r>
    </w:p>
    <w:p>
      <w:pPr>
        <w:numPr>
          <w:ilvl w:val="0"/>
          <w:numId w:val="8"/>
        </w:numPr>
        <w:spacing w:before="0" w:after="160" w:line="36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Los estudios de factibilidad.</w:t>
      </w:r>
    </w:p>
    <w:p>
      <w:pPr>
        <w:numPr>
          <w:ilvl w:val="0"/>
          <w:numId w:val="8"/>
        </w:numPr>
        <w:spacing w:before="0" w:after="160" w:line="36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Los estudios de impacto ambiental de las inversiones en obra de infraestructura y contrato de concesiones. </w:t>
      </w:r>
    </w:p>
    <w:p>
      <w:pPr>
        <w:numPr>
          <w:ilvl w:val="0"/>
          <w:numId w:val="8"/>
        </w:numPr>
        <w:spacing w:before="0" w:after="160" w:line="36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 información relativa a las reuniones de junta directiva, la asistencia, las fechas y el pago en concepto de dieta, emolumentos y viáticos derivados del trabajo que realizan los miembros de dichas juntas directivas. </w:t>
      </w:r>
    </w:p>
    <w:p>
      <w:pPr>
        <w:spacing w:before="0" w:after="16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Finalmente, se proponen reformas en la Ley 37 de 2009, que descentraliza la Administración Pública, tales como el deber de establecer un calendario de capacitaciones continuas de carácter obligatorio en las esferas  municipales y el deber de cada municipio de establecer una oficina de participación ciudadana para la recepción, divulgación y enlace para que los ciudadanos presenten sus iniciativas de proyectos y obras comunitarias, así como para recibir y presentar información de la gestión pública local.</w:t>
      </w:r>
    </w:p>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H.D. JUAN DIEGO VÁSQUEZ G.</w:t>
      </w: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DIPUTADO CIRCUITO 8-6</w:t>
      </w: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PROYECTO DE LEY NO.</w:t>
      </w: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De____de_____de 2020</w:t>
      </w: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Que modifica la Ley 6 de 22 de enero de 2002 y dicta otras disposiciones</w:t>
      </w: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 ASAMBLEA NACIONAL</w:t>
      </w: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DECRETA:</w:t>
      </w: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1. </w:t>
      </w:r>
      <w:r>
        <w:rPr>
          <w:rFonts w:ascii="Times New Roman" w:hAnsi="Times New Roman" w:cs="Times New Roman" w:eastAsia="Times New Roman"/>
          <w:color w:val="000000"/>
          <w:spacing w:val="0"/>
          <w:position w:val="0"/>
          <w:sz w:val="24"/>
          <w:shd w:fill="auto" w:val="clear"/>
        </w:rPr>
        <w:t xml:space="preserve">Se adiciona el numeral 14 al artículo 1 de la Ley 6 de 22 de enero de 2002, para que quede así:</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Para efectos de la aplicación e interpretación de esta Ley, los siguientes términos se definen así:</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 Datos Abiertos: Conjunto de datos que se estructuran en un formato en el cual se puedan acceder, utilizar, manipular, distribuir y reutilizar libremente por cualquier ciudadano sin mas requerimiento que la atribución y que permita la interoperabilidad de estos.</w:t>
      </w:r>
    </w:p>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2. </w:t>
      </w:r>
      <w:r>
        <w:rPr>
          <w:rFonts w:ascii="Times New Roman" w:hAnsi="Times New Roman" w:cs="Times New Roman" w:eastAsia="Times New Roman"/>
          <w:color w:val="000000"/>
          <w:spacing w:val="0"/>
          <w:position w:val="0"/>
          <w:sz w:val="24"/>
          <w:shd w:fill="auto" w:val="clear"/>
        </w:rPr>
        <w:t xml:space="preserve">Se modifica el primer párrafo del artículo 7 de la Ley 6 de 22 de enero de 2002, para que quede así:</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7. El funcionario receptor tendrá treinta días</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calendario a partir de la fecha de la presentación de la solicitud, para contestarla por escrito y, en caso de que ésta no posea el o los documentos o registros solicitados, así lo informará. Si el funcionario tiene conocimiento de que otra institución tiene o pueda tener en su poder dichos documentos o documentos similares, estará obligado a indicárselo al solicitante. De tratarse de una solicitud compleja o extensa, el funcionario informará por escrito, dentro de los treinta días calendario antes señalados, la necesidad de extender el término para recopilar la información solicitada. En ningún caso, dicho término podrá exceder de quince días calendario adicionales.</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3. </w:t>
      </w:r>
      <w:r>
        <w:rPr>
          <w:rFonts w:ascii="Times New Roman" w:hAnsi="Times New Roman" w:cs="Times New Roman" w:eastAsia="Times New Roman"/>
          <w:color w:val="000000"/>
          <w:spacing w:val="0"/>
          <w:position w:val="0"/>
          <w:sz w:val="24"/>
          <w:shd w:fill="auto" w:val="clear"/>
        </w:rPr>
        <w:t xml:space="preserve">Se adicionan los numerales 7 y 8 al artículo 9 de la Ley 6 de 22 de enero de 2002, para que quede así:</w:t>
      </w:r>
    </w:p>
    <w:p>
      <w:pPr>
        <w:spacing w:before="0" w:after="0" w:line="360"/>
        <w:ind w:right="0" w:left="708"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9</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En atención al principio de publicidad, las instituciones del Estado están obligadas a tener disponible en forma impresa, en sus respectivos sitios de Internet y a publicar periódicamente, información actualizada respecto de los temas, documentos y políticas que a continuación se detallan:</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El presupuesto aprobado para el año fiscal corriente, los cambios y traslados de partida.</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 Los estudios de factibilidad y, en casos pertinentes los estudios de impacto ambiental de las inversiones en obra de infraestructura y contrato de concesiones.</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p>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4. </w:t>
      </w:r>
      <w:r>
        <w:rPr>
          <w:rFonts w:ascii="Times New Roman" w:hAnsi="Times New Roman" w:cs="Times New Roman" w:eastAsia="Times New Roman"/>
          <w:color w:val="000000"/>
          <w:spacing w:val="0"/>
          <w:position w:val="0"/>
          <w:sz w:val="24"/>
          <w:shd w:fill="auto" w:val="clear"/>
        </w:rPr>
        <w:t xml:space="preserve">Se adiciona un párrafo al artículo 11 de la Ley 6 de 22 de enero de 2002, para que quede así:</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11. Será de carácter público y de libre acceso a las personas interesadas, la información relativa a la contratación y designación de funcionarios, planillas, gastos de representación, costo de viajes, emolumentos o pagos en concepto de viáticos y otros, de los funcionarios del nivel que sea y/o de otras personas que desempeñen funciones públicas.</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Igualmente será información de carácter público la relativa a las reuniones de junta directiva de aquellas instituciones y empresas públicas de acuerdo con los miembros que la conforman, la asistencia a estas reuniones, las fechas y el pago en concepto de dieta, emolumentos y viáticos derivados del trabajo que realizan los miembros de dichas juntas directivas. </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Los datos publicados de las personas contratadas por el Estado, y/ o reciban pagos en conceptos, de planilla, gastos de representación, dietas, emolumentos y viáticos deberán al menos incluir su nombre completo, número de cédula, cargo, fecha de ingreso al cargo, estado de la designación, y el salario o pago respectivo.</w:t>
      </w:r>
    </w:p>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5. </w:t>
      </w:r>
      <w:r>
        <w:rPr>
          <w:rFonts w:ascii="Times New Roman" w:hAnsi="Times New Roman" w:cs="Times New Roman" w:eastAsia="Times New Roman"/>
          <w:color w:val="000000"/>
          <w:spacing w:val="0"/>
          <w:position w:val="0"/>
          <w:sz w:val="24"/>
          <w:shd w:fill="auto" w:val="clear"/>
        </w:rPr>
        <w:t xml:space="preserve">Se adiciona el artículo 12-A a la Ley 6 de enero de 2002, para que quede así:</w:t>
      </w:r>
    </w:p>
    <w:p>
      <w:pPr>
        <w:spacing w:before="0" w:after="0" w:line="360"/>
        <w:ind w:right="0" w:left="709"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12-A.</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La información a la que se refiere la presente ley deberá ser publicada o entregada a quien la solicita utilizando siempre el formato de datos abiertos. </w:t>
      </w:r>
    </w:p>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6. </w:t>
      </w:r>
      <w:r>
        <w:rPr>
          <w:rFonts w:ascii="Times New Roman" w:hAnsi="Times New Roman" w:cs="Times New Roman" w:eastAsia="Times New Roman"/>
          <w:color w:val="000000"/>
          <w:spacing w:val="0"/>
          <w:position w:val="0"/>
          <w:sz w:val="24"/>
          <w:shd w:fill="auto" w:val="clear"/>
        </w:rPr>
        <w:t xml:space="preserve">Se modifica el artículo 16 de la Ley 6 de enero de 2002, para que quede así:</w:t>
      </w:r>
    </w:p>
    <w:p>
      <w:pPr>
        <w:spacing w:before="0" w:after="0" w:line="360"/>
        <w:ind w:right="0" w:left="70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16.</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Las instituciones del Estado deberán sustentar con resolución motivada, la información que no pueden suministrar por ser considerada como de carácter como confidencial o de acceso restringido, conforme a lo establecido en esta Ley.</w:t>
      </w:r>
    </w:p>
    <w:p>
      <w:pPr>
        <w:spacing w:before="0" w:after="0" w:line="360"/>
        <w:ind w:right="0" w:left="70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Esta resolución motivada deberá ser primero remitida a la Autoridad Nacional de Transparencia y Acceso a la Información (ANTAI), para su debida evaluación y aprobación; trámite que no deberá durar más de tres (3) días hábiles conforme a recibido.</w:t>
      </w:r>
    </w:p>
    <w:p>
      <w:pPr>
        <w:spacing w:before="0" w:after="0" w:line="360"/>
        <w:ind w:right="0" w:left="70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 ser negada la aprobación por la ANTAI, la autoridad competente estará obligada a entregar la información solicitada, dentro de los términos establecidos en esta Ley.</w:t>
      </w:r>
    </w:p>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7. </w:t>
      </w:r>
      <w:r>
        <w:rPr>
          <w:rFonts w:ascii="Times New Roman" w:hAnsi="Times New Roman" w:cs="Times New Roman" w:eastAsia="Times New Roman"/>
          <w:color w:val="000000"/>
          <w:spacing w:val="0"/>
          <w:position w:val="0"/>
          <w:sz w:val="24"/>
          <w:shd w:fill="auto" w:val="clear"/>
        </w:rPr>
        <w:t xml:space="preserve">Se adiciona el artículo 16-A a la Ley 6 de enero de 2002, para que quede así:</w:t>
      </w:r>
    </w:p>
    <w:p>
      <w:pPr>
        <w:spacing w:before="0" w:after="0" w:line="360"/>
        <w:ind w:right="0" w:left="709"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16-A. La resolución a la que se refiere el artículo anterior deberá estar motivada de manera tal que la declaratoria de información confidencial deje claro que el interés social y el bien común se ve mayormente afectado al compartir la información en cuestión que al declararla de acceso restringido. </w:t>
      </w:r>
    </w:p>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8. </w:t>
      </w:r>
      <w:r>
        <w:rPr>
          <w:rFonts w:ascii="Times New Roman" w:hAnsi="Times New Roman" w:cs="Times New Roman" w:eastAsia="Times New Roman"/>
          <w:color w:val="000000"/>
          <w:spacing w:val="0"/>
          <w:position w:val="0"/>
          <w:sz w:val="24"/>
          <w:shd w:fill="auto" w:val="clear"/>
        </w:rPr>
        <w:t xml:space="preserve">Se adiciona el artículo 26-A a la Ley 6 de enero de 2002, para que quede así:</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26-A. Las instituciones y empresas del Estado deberán mantener a la disposición permanente del público, a través de sus respectivos sitios de internet, en su sección de transparencia lo contemplado en los artículos 9, 10, 11, 26 y 27. </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 información contenida en dichos portales se considera como mínima y no excluyente de otras que tengan carácter de información de acceso público y que puede ser susceptible de solicitud de información. </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9. </w:t>
      </w:r>
      <w:r>
        <w:rPr>
          <w:rFonts w:ascii="Times New Roman" w:hAnsi="Times New Roman" w:cs="Times New Roman" w:eastAsia="Times New Roman"/>
          <w:color w:val="000000"/>
          <w:spacing w:val="0"/>
          <w:position w:val="0"/>
          <w:sz w:val="24"/>
          <w:shd w:fill="auto" w:val="clear"/>
        </w:rPr>
        <w:t xml:space="preserve">Se adiciona el artículo 26-B a la Ley 6 de 22 de enero de 2002, para que quede así:</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26-B. Las Instituciones y empresas públicas deberán mantener los antecedentes actualizados de la información contemplada en los artículos 10, 11 y 26. </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 igual forma, las Instituciones y empresas públicas tendrán la obligación del control interno de las direcciones y departamentos, quienes tendrán la obligación de velar por la observancia y cumplimiento del derecho de acceso a la información, sin perjuicio de las atribuciones y funciones consagradas a la Autoridad Nacional de Transparencia y Acceso a la Información en la Ley No. 33 de 2013. </w:t>
      </w:r>
    </w:p>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10. </w:t>
      </w:r>
      <w:r>
        <w:rPr>
          <w:rFonts w:ascii="Times New Roman" w:hAnsi="Times New Roman" w:cs="Times New Roman" w:eastAsia="Times New Roman"/>
          <w:color w:val="000000"/>
          <w:spacing w:val="0"/>
          <w:position w:val="0"/>
          <w:sz w:val="24"/>
          <w:shd w:fill="auto" w:val="clear"/>
        </w:rPr>
        <w:t xml:space="preserve">Se deroga el numeral 2 del artículo 27 de la Ley 6 de 22 de enero de 2002. </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27.</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Dentro de un plazo no mayor de seis meses, contado a partir de la entrada en vigencia de esta Ley, toda agencia o dependencia del Estado, incluyendo las pertenecientes a los Órganos Ejecutivo, Legislativo y Judicial, las entidades descentralizadas, autónomas y semiautónomas, los municipios, los gobiernos locales y las juntas comunales, de no tenerlos, establecerán y ordenarán la publicación en la Gaceta Oficial de sus respectivos Códigos de Ética para el correcto ejercicio de la función pública, entre otros, los siguientes aspectos: </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Declaración de valores. </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Uso adecuado de los recursos asignados para el desempeño de la función pública. </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Obligación de informar al superior sobre actos de corrupción. </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Mecanismo para hacer efectivo el cumplimiento de las normas de conducta. </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Parágrafo. Los Códigos de Ética a los que se refiere esta Ley serán recopilados por la Defensoría del Pueblo, previa su aprobación por cada una de las instituciones correspondientes.</w:t>
      </w:r>
    </w:p>
    <w:p>
      <w:pPr>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11. </w:t>
      </w:r>
      <w:r>
        <w:rPr>
          <w:rFonts w:ascii="Times New Roman" w:hAnsi="Times New Roman" w:cs="Times New Roman" w:eastAsia="Times New Roman"/>
          <w:color w:val="000000"/>
          <w:spacing w:val="0"/>
          <w:position w:val="0"/>
          <w:sz w:val="24"/>
          <w:shd w:fill="auto" w:val="clear"/>
        </w:rPr>
        <w:t xml:space="preserve">Se autoriza a la Asamblea Nacional, a preparar un Texto Único de la Ley 6 de 22 de enero de 2002, que recoja todas las reformas realizadas por esta ley, en forma de numeración consecutiva, comenzando desde el artículo 1. </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 Asamblea Nacional queda facultada, en la preparación del Texto Único, para:</w:t>
      </w:r>
    </w:p>
    <w:p>
      <w:pPr>
        <w:numPr>
          <w:ilvl w:val="0"/>
          <w:numId w:val="34"/>
        </w:numPr>
        <w:suppressAutoHyphens w:val="true"/>
        <w:spacing w:before="0" w:after="0" w:line="360"/>
        <w:ind w:right="0" w:left="3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Realizar los ajustes implicados por las modificaciones, adiciones y derogaciones aprobadas, hasta el momento, respecto a la Ley 6 de 22 de enero de 2002. </w:t>
      </w:r>
    </w:p>
    <w:p>
      <w:pPr>
        <w:numPr>
          <w:ilvl w:val="0"/>
          <w:numId w:val="34"/>
        </w:numPr>
        <w:suppressAutoHyphens w:val="true"/>
        <w:spacing w:before="0" w:after="0" w:line="360"/>
        <w:ind w:right="0" w:left="3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Introducir todo tipo de ajuste de referencia cruzada o cita que resulte necesaria. </w:t>
      </w:r>
    </w:p>
    <w:p>
      <w:pPr>
        <w:numPr>
          <w:ilvl w:val="0"/>
          <w:numId w:val="34"/>
        </w:numPr>
        <w:suppressAutoHyphens w:val="true"/>
        <w:spacing w:before="0" w:after="0" w:line="360"/>
        <w:ind w:right="0" w:left="3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Realizar los ajustes formales y estructurales de la Ley 6 de 22 de enero de 2002, de acuerdo con la técnica legislativa. </w:t>
      </w:r>
    </w:p>
    <w:p>
      <w:pPr>
        <w:suppressAutoHyphens w:val="tru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Una vez preparado el Texto Único, será adoptado mediante Resolución del Pleno de la Asamblea Nacional, y publicado en Gaceta Oficial. </w:t>
      </w:r>
    </w:p>
    <w:p>
      <w:pPr>
        <w:suppressAutoHyphens w:val="true"/>
        <w:spacing w:before="0" w:after="0" w:line="360"/>
        <w:ind w:right="0" w:left="360" w:firstLine="348"/>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12.</w:t>
      </w:r>
      <w:r>
        <w:rPr>
          <w:rFonts w:ascii="Times New Roman" w:hAnsi="Times New Roman" w:cs="Times New Roman" w:eastAsia="Times New Roman"/>
          <w:color w:val="000000"/>
          <w:spacing w:val="0"/>
          <w:position w:val="0"/>
          <w:sz w:val="24"/>
          <w:shd w:fill="auto" w:val="clear"/>
        </w:rPr>
        <w:t xml:space="preserve"> Se adiciona un párrafo al artículo 98 de la Ley 37 de 2009, para que quede así: </w:t>
      </w:r>
    </w:p>
    <w:p>
      <w:pPr>
        <w:suppressAutoHyphens w:val="true"/>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98. La capacitación a los servidores públicos municipales revestirá carácter de obligatoriedad para cada Municipio, y los recursos para tal fin deberán ser presupuestados anualmente en el presupuesto de rentas y gastos municipal. El Gobierno Central complementará supletoriamente los recursos necesarios para financiar el Plan Anual de Capacitación Municipal.</w:t>
      </w:r>
    </w:p>
    <w:p>
      <w:pPr>
        <w:suppressAutoHyphens w:val="true"/>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 establecerá un calendario de capacitaciones continuas de carácter obligatorio con el fin de garantizar los objetivos consagrados en esta Ley.</w:t>
      </w:r>
    </w:p>
    <w:p>
      <w:pPr>
        <w:suppressAutoHyphens w:val="true"/>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Artículo 13.</w:t>
      </w:r>
      <w:r>
        <w:rPr>
          <w:rFonts w:ascii="Times New Roman" w:hAnsi="Times New Roman" w:cs="Times New Roman" w:eastAsia="Times New Roman"/>
          <w:color w:val="000000"/>
          <w:spacing w:val="0"/>
          <w:position w:val="0"/>
          <w:sz w:val="24"/>
          <w:shd w:fill="auto" w:val="clear"/>
        </w:rPr>
        <w:t xml:space="preserve"> Se adiciona un párrafo al artículo 99 de la Ley 37 de 2009, para que quede así:</w:t>
      </w:r>
    </w:p>
    <w:p>
      <w:pPr>
        <w:suppressAutoHyphens w:val="true"/>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Artículo 99. Los programas de inducción, capacitación, adiestramiento y desarrollo municipal deben ser compatibles con las prioridades nacionales, sectoriales y regionales de recursos humanos, enmarcados en un Plan Nacional de Capacitación y Desarrollo de los Recursos Humanos del Sector Público Municipal que integre los programas institucionales, sectoriales y nacionales.</w:t>
      </w:r>
    </w:p>
    <w:p>
      <w:pPr>
        <w:suppressAutoHyphens w:val="true"/>
        <w:spacing w:before="0" w:after="0" w:line="360"/>
        <w:ind w:right="0" w:left="708"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 impartirá un curso sobre ética y probidad anualmente, que sea acorde a lo establecido en el Plan Nacional de Capacitación y Desarrollo de los Recursos Humanos del Sector Público Municipal, la participación en dicho curso es de obligatorio cumplimiento. </w:t>
      </w:r>
    </w:p>
    <w:p>
      <w:pPr>
        <w:suppressAutoHyphens w:val="true"/>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Artículo 14. </w:t>
      </w:r>
      <w:r>
        <w:rPr>
          <w:rFonts w:ascii="Times New Roman" w:hAnsi="Times New Roman" w:cs="Times New Roman" w:eastAsia="Times New Roman"/>
          <w:color w:val="000000"/>
          <w:spacing w:val="0"/>
          <w:position w:val="0"/>
          <w:sz w:val="24"/>
          <w:shd w:fill="FFFFFF" w:val="clear"/>
        </w:rPr>
        <w:t xml:space="preserve">La presente Ley </w:t>
      </w:r>
      <w:r>
        <w:rPr>
          <w:rFonts w:ascii="Times New Roman" w:hAnsi="Times New Roman" w:cs="Times New Roman" w:eastAsia="Times New Roman"/>
          <w:color w:val="000000"/>
          <w:spacing w:val="0"/>
          <w:position w:val="0"/>
          <w:sz w:val="24"/>
          <w:shd w:fill="auto" w:val="clear"/>
        </w:rPr>
        <w:t xml:space="preserve">adiciona los artículos 12-A, 16-A, 26-A, 26-B, y modifica el artículo 1, 7, 9, 11, 16 y 27 de la Ley 6 de 22 de enero de 2002; y modifica los artículos 98, 99 de la Ley 37 de 2009.</w:t>
      </w:r>
    </w:p>
    <w:p>
      <w:pPr>
        <w:spacing w:before="0" w:after="0" w:line="36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Artículo 15. </w:t>
      </w:r>
      <w:r>
        <w:rPr>
          <w:rFonts w:ascii="Times New Roman" w:hAnsi="Times New Roman" w:cs="Times New Roman" w:eastAsia="Times New Roman"/>
          <w:color w:val="000000"/>
          <w:spacing w:val="0"/>
          <w:position w:val="0"/>
          <w:sz w:val="24"/>
          <w:shd w:fill="FFFFFF" w:val="clear"/>
        </w:rPr>
        <w:t xml:space="preserve">Esta Ley empieza a regir desde el día siguiente de su promulgación.</w:t>
      </w:r>
    </w:p>
    <w:p>
      <w:pPr>
        <w:spacing w:before="0" w:after="0" w:line="360"/>
        <w:ind w:right="0" w:left="0" w:firstLine="0"/>
        <w:jc w:val="both"/>
        <w:rPr>
          <w:rFonts w:ascii="Times New Roman" w:hAnsi="Times New Roman" w:cs="Times New Roman" w:eastAsia="Times New Roman"/>
          <w:b/>
          <w:color w:val="000000"/>
          <w:spacing w:val="0"/>
          <w:position w:val="0"/>
          <w:sz w:val="24"/>
          <w:shd w:fill="FFFFFF" w:val="clear"/>
        </w:rPr>
      </w:pPr>
    </w:p>
    <w:p>
      <w:pPr>
        <w:spacing w:before="0" w:after="160" w:line="259"/>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COMUNÍQUESE Y CÚMPLASE.</w:t>
      </w:r>
    </w:p>
    <w:p>
      <w:pPr>
        <w:spacing w:before="0" w:after="160" w:line="259"/>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Propuesto a consideración de la Asamblea Nacional el día de hoy, 22 de enero de 2020, por el Honorable Diputado Juan Diego Vásquez G. </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H.D. JUAN DIEGO VÁSQUEZ G.</w:t>
      </w: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DIPUTADO CIRCUITO 8-6</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8">
    <w:abstractNumId w:val="6"/>
  </w:num>
  <w:num w:numId="3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